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96"/>
        <w:gridCol w:w="7320"/>
      </w:tblGrid>
      <w:tr w:rsidR="00E835E9" w14:paraId="379E28BA" w14:textId="77777777" w:rsidTr="00702A1C">
        <w:tc>
          <w:tcPr>
            <w:tcW w:w="1696" w:type="dxa"/>
          </w:tcPr>
          <w:p w14:paraId="0EB82244" w14:textId="77777777" w:rsidR="00E835E9" w:rsidRDefault="00E835E9" w:rsidP="00702A1C">
            <w:r>
              <w:t>Unit</w:t>
            </w:r>
          </w:p>
        </w:tc>
        <w:tc>
          <w:tcPr>
            <w:tcW w:w="7320" w:type="dxa"/>
          </w:tcPr>
          <w:p w14:paraId="49074991" w14:textId="77777777" w:rsidR="00E835E9" w:rsidRPr="00E835E9" w:rsidRDefault="00E835E9" w:rsidP="00702A1C">
            <w:pPr>
              <w:rPr>
                <w:b/>
                <w:bCs/>
              </w:rPr>
            </w:pPr>
            <w:r w:rsidRPr="00E835E9">
              <w:rPr>
                <w:b/>
                <w:bCs/>
                <w:lang w:val="en-US"/>
              </w:rPr>
              <w:t>XX3100A Capstone Integrative Project</w:t>
            </w:r>
          </w:p>
        </w:tc>
      </w:tr>
      <w:tr w:rsidR="00E835E9" w14:paraId="45827457" w14:textId="77777777" w:rsidTr="00702A1C">
        <w:tc>
          <w:tcPr>
            <w:tcW w:w="1696" w:type="dxa"/>
          </w:tcPr>
          <w:p w14:paraId="498D345F" w14:textId="77777777" w:rsidR="00E835E9" w:rsidRDefault="00E835E9" w:rsidP="00702A1C">
            <w:r>
              <w:t>Content</w:t>
            </w:r>
          </w:p>
        </w:tc>
        <w:tc>
          <w:tcPr>
            <w:tcW w:w="7320" w:type="dxa"/>
          </w:tcPr>
          <w:p w14:paraId="491F0152" w14:textId="77777777" w:rsidR="00E835E9" w:rsidRDefault="00E835E9" w:rsidP="00702A1C">
            <w:r>
              <w:rPr>
                <w:rFonts w:ascii="Arial" w:hAnsi="Arial" w:cs="Arial"/>
                <w:color w:val="333333"/>
                <w:sz w:val="21"/>
                <w:szCs w:val="21"/>
                <w:shd w:val="clear" w:color="auto" w:fill="FFFFFF"/>
              </w:rPr>
              <w:t xml:space="preserve">This unit offers students the opportunity to draw together the various elements of their bachelor award, in order to integrate their learning and articulate their insights. Students will integrate and engage critically with the content and concerns of more than one discipline to identify key theological, </w:t>
            </w:r>
            <w:proofErr w:type="gramStart"/>
            <w:r>
              <w:rPr>
                <w:rFonts w:ascii="Arial" w:hAnsi="Arial" w:cs="Arial"/>
                <w:color w:val="333333"/>
                <w:sz w:val="21"/>
                <w:szCs w:val="21"/>
                <w:shd w:val="clear" w:color="auto" w:fill="FFFFFF"/>
              </w:rPr>
              <w:t>historical</w:t>
            </w:r>
            <w:proofErr w:type="gramEnd"/>
            <w:r>
              <w:rPr>
                <w:rFonts w:ascii="Arial" w:hAnsi="Arial" w:cs="Arial"/>
                <w:color w:val="333333"/>
                <w:sz w:val="21"/>
                <w:szCs w:val="21"/>
                <w:shd w:val="clear" w:color="auto" w:fill="FFFFFF"/>
              </w:rPr>
              <w:t xml:space="preserve"> and biblical themes that have implications for life and ministry in the contemporary context. Students will work with a supervisor as well as engage in seminar conversations to develop a bibliography and develop key formational theological concepts. Students will identify a topic or theme as the basis for their work. The intent is for students to demonstrate their skills to reflect theologically and produce work of sound academic skill.</w:t>
            </w:r>
          </w:p>
        </w:tc>
      </w:tr>
      <w:tr w:rsidR="00E835E9" w14:paraId="56CBA24C" w14:textId="77777777" w:rsidTr="00702A1C">
        <w:tc>
          <w:tcPr>
            <w:tcW w:w="1696" w:type="dxa"/>
          </w:tcPr>
          <w:p w14:paraId="38B6075F" w14:textId="77777777" w:rsidR="00E835E9" w:rsidRDefault="00E835E9" w:rsidP="00702A1C">
            <w:r>
              <w:t>Learning outcomes</w:t>
            </w:r>
          </w:p>
        </w:tc>
        <w:tc>
          <w:tcPr>
            <w:tcW w:w="7320" w:type="dxa"/>
          </w:tcPr>
          <w:p w14:paraId="3A459237" w14:textId="77777777" w:rsidR="00E835E9" w:rsidRPr="00644B41" w:rsidRDefault="00E835E9" w:rsidP="00702A1C">
            <w:pPr>
              <w:rPr>
                <w:b/>
              </w:rPr>
            </w:pPr>
            <w:r w:rsidRPr="00644B41">
              <w:rPr>
                <w:b/>
              </w:rPr>
              <w:t>Undergraduate</w:t>
            </w:r>
          </w:p>
          <w:p w14:paraId="1A07257E" w14:textId="77777777" w:rsidR="00E835E9" w:rsidRDefault="00E835E9" w:rsidP="00E835E9">
            <w:pPr>
              <w:pStyle w:val="ListParagraph"/>
              <w:numPr>
                <w:ilvl w:val="0"/>
                <w:numId w:val="1"/>
              </w:numPr>
            </w:pPr>
            <w:r>
              <w:t>Integrate more than one discipline to address a theme or topic.</w:t>
            </w:r>
          </w:p>
          <w:p w14:paraId="1F3620A0" w14:textId="77777777" w:rsidR="00E835E9" w:rsidRDefault="00E835E9" w:rsidP="00E835E9">
            <w:pPr>
              <w:pStyle w:val="ListParagraph"/>
              <w:numPr>
                <w:ilvl w:val="0"/>
                <w:numId w:val="1"/>
              </w:numPr>
            </w:pPr>
            <w:r>
              <w:t>Critically examine various sources, demonstrating their applicability to a selected professional or ministry scenario.</w:t>
            </w:r>
          </w:p>
          <w:p w14:paraId="7A8E6965" w14:textId="77777777" w:rsidR="00E835E9" w:rsidRDefault="00E835E9" w:rsidP="00E835E9">
            <w:pPr>
              <w:pStyle w:val="ListParagraph"/>
              <w:numPr>
                <w:ilvl w:val="0"/>
                <w:numId w:val="1"/>
              </w:numPr>
            </w:pPr>
            <w:r>
              <w:t>Articulate their theological insights in a seminar context.</w:t>
            </w:r>
          </w:p>
          <w:p w14:paraId="446E4EA3" w14:textId="77777777" w:rsidR="00E835E9" w:rsidRDefault="00E835E9" w:rsidP="00E835E9">
            <w:pPr>
              <w:pStyle w:val="ListParagraph"/>
              <w:numPr>
                <w:ilvl w:val="0"/>
                <w:numId w:val="1"/>
              </w:numPr>
            </w:pPr>
            <w:r>
              <w:t xml:space="preserve">Present integrated theological ideas coherently, </w:t>
            </w:r>
            <w:proofErr w:type="gramStart"/>
            <w:r>
              <w:t>creatively</w:t>
            </w:r>
            <w:proofErr w:type="gramEnd"/>
            <w:r>
              <w:t xml:space="preserve"> and effectively, engaging with critical feedback from peers.</w:t>
            </w:r>
          </w:p>
        </w:tc>
      </w:tr>
      <w:tr w:rsidR="00E835E9" w14:paraId="1C422B12" w14:textId="77777777" w:rsidTr="00702A1C">
        <w:tc>
          <w:tcPr>
            <w:tcW w:w="1696" w:type="dxa"/>
          </w:tcPr>
          <w:p w14:paraId="5D1E2AB4" w14:textId="77777777" w:rsidR="00E835E9" w:rsidRDefault="00E835E9" w:rsidP="00702A1C">
            <w:r>
              <w:t>Teacher</w:t>
            </w:r>
          </w:p>
        </w:tc>
        <w:tc>
          <w:tcPr>
            <w:tcW w:w="7320" w:type="dxa"/>
          </w:tcPr>
          <w:p w14:paraId="69592736" w14:textId="77777777" w:rsidR="00E835E9" w:rsidRDefault="00E835E9" w:rsidP="00702A1C">
            <w:r>
              <w:t>Very Rev. Dr Peter A.L. Hill (co-ordinator)</w:t>
            </w:r>
          </w:p>
        </w:tc>
      </w:tr>
      <w:tr w:rsidR="00E835E9" w14:paraId="7D43496C" w14:textId="77777777" w:rsidTr="00702A1C">
        <w:tc>
          <w:tcPr>
            <w:tcW w:w="1696" w:type="dxa"/>
          </w:tcPr>
          <w:p w14:paraId="317B0CF5" w14:textId="77777777" w:rsidR="00E835E9" w:rsidRDefault="00E835E9" w:rsidP="00702A1C">
            <w:r>
              <w:t>Day/time</w:t>
            </w:r>
          </w:p>
        </w:tc>
        <w:tc>
          <w:tcPr>
            <w:tcW w:w="7320" w:type="dxa"/>
          </w:tcPr>
          <w:p w14:paraId="58ACEE6A" w14:textId="77777777" w:rsidR="00E835E9" w:rsidRDefault="00E835E9" w:rsidP="00702A1C">
            <w:r w:rsidRPr="006168F0">
              <w:rPr>
                <w:rFonts w:cstheme="minorHAnsi"/>
                <w:sz w:val="21"/>
                <w:szCs w:val="21"/>
                <w:shd w:val="clear" w:color="auto" w:fill="FFFFFF"/>
              </w:rPr>
              <w:t>Weekly seminar sessions</w:t>
            </w:r>
            <w:r>
              <w:rPr>
                <w:rFonts w:cstheme="minorHAnsi"/>
                <w:sz w:val="21"/>
                <w:szCs w:val="21"/>
                <w:shd w:val="clear" w:color="auto" w:fill="FFFFFF"/>
              </w:rPr>
              <w:t>, 4pm – 6pm,</w:t>
            </w:r>
            <w:r w:rsidRPr="006168F0">
              <w:rPr>
                <w:rFonts w:cstheme="minorHAnsi"/>
                <w:sz w:val="21"/>
                <w:szCs w:val="21"/>
                <w:shd w:val="clear" w:color="auto" w:fill="FFFFFF"/>
              </w:rPr>
              <w:t xml:space="preserve"> on the first four </w:t>
            </w:r>
            <w:r>
              <w:rPr>
                <w:rFonts w:cstheme="minorHAnsi"/>
                <w:sz w:val="21"/>
                <w:szCs w:val="21"/>
                <w:shd w:val="clear" w:color="auto" w:fill="FFFFFF"/>
              </w:rPr>
              <w:t>Tuesdays</w:t>
            </w:r>
            <w:r w:rsidRPr="006168F0">
              <w:rPr>
                <w:rFonts w:cstheme="minorHAnsi"/>
                <w:sz w:val="21"/>
                <w:szCs w:val="21"/>
                <w:shd w:val="clear" w:color="auto" w:fill="FFFFFF"/>
              </w:rPr>
              <w:t xml:space="preserve"> of semester. This will be followed by mentored individual work and a final seminar</w:t>
            </w:r>
            <w:r>
              <w:rPr>
                <w:rFonts w:cstheme="minorHAnsi"/>
                <w:sz w:val="21"/>
                <w:szCs w:val="21"/>
                <w:shd w:val="clear" w:color="auto" w:fill="FFFFFF"/>
              </w:rPr>
              <w:t xml:space="preserve"> in Week 10.</w:t>
            </w:r>
          </w:p>
        </w:tc>
      </w:tr>
      <w:tr w:rsidR="00E835E9" w14:paraId="6B03FD88" w14:textId="77777777" w:rsidTr="00702A1C">
        <w:tc>
          <w:tcPr>
            <w:tcW w:w="1696" w:type="dxa"/>
          </w:tcPr>
          <w:p w14:paraId="1964AA2D" w14:textId="77777777" w:rsidR="00E835E9" w:rsidRDefault="00E835E9" w:rsidP="00702A1C">
            <w:proofErr w:type="gramStart"/>
            <w:r>
              <w:t>Text Book</w:t>
            </w:r>
            <w:proofErr w:type="gramEnd"/>
          </w:p>
        </w:tc>
        <w:tc>
          <w:tcPr>
            <w:tcW w:w="7320" w:type="dxa"/>
          </w:tcPr>
          <w:p w14:paraId="45E1303A" w14:textId="77777777" w:rsidR="00E835E9" w:rsidRDefault="00E835E9" w:rsidP="00702A1C">
            <w:r>
              <w:t>N/A</w:t>
            </w:r>
          </w:p>
        </w:tc>
      </w:tr>
      <w:tr w:rsidR="00E835E9" w14:paraId="2BC853FA" w14:textId="77777777" w:rsidTr="00702A1C">
        <w:tc>
          <w:tcPr>
            <w:tcW w:w="1696" w:type="dxa"/>
          </w:tcPr>
          <w:p w14:paraId="132229CB" w14:textId="77777777" w:rsidR="00E835E9" w:rsidRDefault="00E835E9" w:rsidP="00702A1C">
            <w:r>
              <w:t>Indicative Bibliography</w:t>
            </w:r>
          </w:p>
        </w:tc>
        <w:tc>
          <w:tcPr>
            <w:tcW w:w="7320" w:type="dxa"/>
          </w:tcPr>
          <w:p w14:paraId="20AA0D11" w14:textId="77777777" w:rsidR="00E835E9" w:rsidRDefault="00E835E9" w:rsidP="00E835E9">
            <w:pPr>
              <w:pStyle w:val="NormalWeb"/>
              <w:numPr>
                <w:ilvl w:val="0"/>
                <w:numId w:val="2"/>
              </w:numPr>
              <w:shd w:val="clear" w:color="auto" w:fill="FFFFFF"/>
              <w:spacing w:before="0" w:beforeAutospacing="0" w:after="0" w:afterAutospacing="0"/>
              <w:ind w:left="714" w:hanging="357"/>
              <w:rPr>
                <w:rFonts w:asciiTheme="minorHAnsi" w:hAnsiTheme="minorHAnsi" w:cstheme="minorHAnsi"/>
                <w:sz w:val="22"/>
                <w:szCs w:val="22"/>
              </w:rPr>
            </w:pPr>
            <w:r w:rsidRPr="00436C65">
              <w:rPr>
                <w:rFonts w:asciiTheme="minorHAnsi" w:hAnsiTheme="minorHAnsi" w:cstheme="minorHAnsi"/>
                <w:sz w:val="22"/>
                <w:szCs w:val="22"/>
              </w:rPr>
              <w:t>Bevans, S. </w:t>
            </w:r>
            <w:r w:rsidRPr="00436C65">
              <w:rPr>
                <w:rStyle w:val="Emphasis"/>
                <w:rFonts w:asciiTheme="minorHAnsi" w:hAnsiTheme="minorHAnsi" w:cstheme="minorHAnsi"/>
                <w:sz w:val="22"/>
                <w:szCs w:val="22"/>
              </w:rPr>
              <w:t xml:space="preserve">Introduction to Theology </w:t>
            </w:r>
            <w:r>
              <w:rPr>
                <w:rStyle w:val="Emphasis"/>
                <w:rFonts w:asciiTheme="minorHAnsi" w:hAnsiTheme="minorHAnsi" w:cstheme="minorHAnsi"/>
                <w:sz w:val="22"/>
                <w:szCs w:val="22"/>
              </w:rPr>
              <w:t>F</w:t>
            </w:r>
            <w:r w:rsidRPr="00436C65">
              <w:rPr>
                <w:rStyle w:val="Emphasis"/>
                <w:rFonts w:asciiTheme="minorHAnsi" w:hAnsiTheme="minorHAnsi" w:cstheme="minorHAnsi"/>
                <w:sz w:val="22"/>
                <w:szCs w:val="22"/>
              </w:rPr>
              <w:t>rom a Global Perspective.</w:t>
            </w:r>
            <w:r w:rsidRPr="00436C65">
              <w:rPr>
                <w:rFonts w:asciiTheme="minorHAnsi" w:hAnsiTheme="minorHAnsi" w:cstheme="minorHAnsi"/>
                <w:sz w:val="22"/>
                <w:szCs w:val="22"/>
              </w:rPr>
              <w:t> Maryknoll: Orbis, 2009.</w:t>
            </w:r>
          </w:p>
          <w:p w14:paraId="36C4011F" w14:textId="77777777" w:rsidR="00E835E9" w:rsidRPr="00436C65" w:rsidRDefault="00E835E9" w:rsidP="00E835E9">
            <w:pPr>
              <w:pStyle w:val="NormalWeb"/>
              <w:numPr>
                <w:ilvl w:val="0"/>
                <w:numId w:val="2"/>
              </w:numPr>
              <w:shd w:val="clear" w:color="auto" w:fill="FFFFFF"/>
              <w:spacing w:before="0" w:beforeAutospacing="0" w:after="0" w:afterAutospacing="0"/>
              <w:ind w:left="714" w:hanging="357"/>
              <w:rPr>
                <w:rFonts w:asciiTheme="minorHAnsi" w:hAnsiTheme="minorHAnsi" w:cstheme="minorHAnsi"/>
                <w:sz w:val="22"/>
                <w:szCs w:val="22"/>
              </w:rPr>
            </w:pPr>
            <w:proofErr w:type="spellStart"/>
            <w:r>
              <w:rPr>
                <w:rFonts w:asciiTheme="minorHAnsi" w:hAnsiTheme="minorHAnsi" w:cstheme="minorHAnsi"/>
                <w:sz w:val="22"/>
                <w:szCs w:val="22"/>
              </w:rPr>
              <w:t>Frodeman</w:t>
            </w:r>
            <w:proofErr w:type="spellEnd"/>
            <w:r>
              <w:rPr>
                <w:rFonts w:asciiTheme="minorHAnsi" w:hAnsiTheme="minorHAnsi" w:cstheme="minorHAnsi"/>
                <w:sz w:val="22"/>
                <w:szCs w:val="22"/>
              </w:rPr>
              <w:t xml:space="preserve">, R. et al. (eds). </w:t>
            </w:r>
            <w:r w:rsidRPr="00436C65">
              <w:rPr>
                <w:rFonts w:asciiTheme="minorHAnsi" w:hAnsiTheme="minorHAnsi" w:cstheme="minorHAnsi"/>
                <w:i/>
                <w:iCs/>
                <w:sz w:val="22"/>
                <w:szCs w:val="22"/>
              </w:rPr>
              <w:t>The Oxford Handbook of Interdisciplinarity</w:t>
            </w:r>
            <w:r>
              <w:rPr>
                <w:rFonts w:asciiTheme="minorHAnsi" w:hAnsiTheme="minorHAnsi" w:cstheme="minorHAnsi"/>
                <w:sz w:val="22"/>
                <w:szCs w:val="22"/>
              </w:rPr>
              <w:t xml:space="preserve">. Oxford/New York: Oxford University Press, 2012. </w:t>
            </w:r>
          </w:p>
          <w:p w14:paraId="186BC1BB" w14:textId="77777777" w:rsidR="00E835E9" w:rsidRPr="00436C65" w:rsidRDefault="00E835E9" w:rsidP="00E835E9">
            <w:pPr>
              <w:pStyle w:val="NormalWeb"/>
              <w:numPr>
                <w:ilvl w:val="0"/>
                <w:numId w:val="2"/>
              </w:numPr>
              <w:shd w:val="clear" w:color="auto" w:fill="FFFFFF"/>
              <w:spacing w:before="0" w:beforeAutospacing="0" w:after="0" w:afterAutospacing="0"/>
              <w:ind w:left="714" w:hanging="357"/>
              <w:rPr>
                <w:rFonts w:asciiTheme="minorHAnsi" w:hAnsiTheme="minorHAnsi" w:cstheme="minorHAnsi"/>
                <w:sz w:val="22"/>
                <w:szCs w:val="22"/>
              </w:rPr>
            </w:pPr>
            <w:r w:rsidRPr="00436C65">
              <w:rPr>
                <w:rFonts w:asciiTheme="minorHAnsi" w:hAnsiTheme="minorHAnsi" w:cstheme="minorHAnsi"/>
                <w:sz w:val="22"/>
                <w:szCs w:val="22"/>
              </w:rPr>
              <w:t>Graham, E</w:t>
            </w:r>
            <w:r>
              <w:rPr>
                <w:rFonts w:asciiTheme="minorHAnsi" w:hAnsiTheme="minorHAnsi" w:cstheme="minorHAnsi"/>
                <w:sz w:val="22"/>
                <w:szCs w:val="22"/>
              </w:rPr>
              <w:t>.</w:t>
            </w:r>
            <w:r w:rsidRPr="00436C65">
              <w:rPr>
                <w:rFonts w:asciiTheme="minorHAnsi" w:hAnsiTheme="minorHAnsi" w:cstheme="minorHAnsi"/>
                <w:sz w:val="22"/>
                <w:szCs w:val="22"/>
              </w:rPr>
              <w:t>, et al</w:t>
            </w:r>
            <w:r>
              <w:rPr>
                <w:rFonts w:asciiTheme="minorHAnsi" w:hAnsiTheme="minorHAnsi" w:cstheme="minorHAnsi"/>
                <w:sz w:val="22"/>
                <w:szCs w:val="22"/>
              </w:rPr>
              <w:t>.</w:t>
            </w:r>
            <w:r w:rsidRPr="00436C65">
              <w:rPr>
                <w:rFonts w:asciiTheme="minorHAnsi" w:hAnsiTheme="minorHAnsi" w:cstheme="minorHAnsi"/>
                <w:sz w:val="22"/>
                <w:szCs w:val="22"/>
              </w:rPr>
              <w:t xml:space="preserve"> (eds). </w:t>
            </w:r>
            <w:r w:rsidRPr="00436C65">
              <w:rPr>
                <w:rStyle w:val="Emphasis"/>
                <w:rFonts w:asciiTheme="minorHAnsi" w:hAnsiTheme="minorHAnsi" w:cstheme="minorHAnsi"/>
                <w:sz w:val="22"/>
                <w:szCs w:val="22"/>
              </w:rPr>
              <w:t>Theological Reflection: Methods</w:t>
            </w:r>
            <w:r w:rsidRPr="00436C65">
              <w:rPr>
                <w:rFonts w:asciiTheme="minorHAnsi" w:hAnsiTheme="minorHAnsi" w:cstheme="minorHAnsi"/>
                <w:sz w:val="22"/>
                <w:szCs w:val="22"/>
              </w:rPr>
              <w:t>. London: SCM Press, 2019.</w:t>
            </w:r>
          </w:p>
          <w:p w14:paraId="78F3D0A3" w14:textId="77777777" w:rsidR="00E835E9" w:rsidRPr="00436C65" w:rsidRDefault="00E835E9" w:rsidP="00E835E9">
            <w:pPr>
              <w:pStyle w:val="NormalWeb"/>
              <w:numPr>
                <w:ilvl w:val="0"/>
                <w:numId w:val="2"/>
              </w:numPr>
              <w:shd w:val="clear" w:color="auto" w:fill="FFFFFF"/>
              <w:spacing w:before="0" w:beforeAutospacing="0" w:after="0" w:afterAutospacing="0"/>
              <w:ind w:left="714" w:hanging="357"/>
              <w:rPr>
                <w:rFonts w:asciiTheme="minorHAnsi" w:hAnsiTheme="minorHAnsi" w:cstheme="minorHAnsi"/>
                <w:sz w:val="22"/>
                <w:szCs w:val="22"/>
              </w:rPr>
            </w:pPr>
            <w:proofErr w:type="spellStart"/>
            <w:r w:rsidRPr="00436C65">
              <w:rPr>
                <w:rFonts w:asciiTheme="minorHAnsi" w:hAnsiTheme="minorHAnsi" w:cstheme="minorHAnsi"/>
                <w:sz w:val="22"/>
                <w:szCs w:val="22"/>
              </w:rPr>
              <w:t>Hierotheos</w:t>
            </w:r>
            <w:proofErr w:type="spellEnd"/>
            <w:r w:rsidRPr="00436C65">
              <w:rPr>
                <w:rFonts w:asciiTheme="minorHAnsi" w:hAnsiTheme="minorHAnsi" w:cstheme="minorHAnsi"/>
                <w:sz w:val="22"/>
                <w:szCs w:val="22"/>
              </w:rPr>
              <w:t xml:space="preserve">, Metropolitan of </w:t>
            </w:r>
            <w:proofErr w:type="spellStart"/>
            <w:r w:rsidRPr="00436C65">
              <w:rPr>
                <w:rFonts w:asciiTheme="minorHAnsi" w:hAnsiTheme="minorHAnsi" w:cstheme="minorHAnsi"/>
                <w:sz w:val="22"/>
                <w:szCs w:val="22"/>
              </w:rPr>
              <w:t>Nafpaktos</w:t>
            </w:r>
            <w:proofErr w:type="spellEnd"/>
            <w:r w:rsidRPr="00436C65">
              <w:rPr>
                <w:rFonts w:asciiTheme="minorHAnsi" w:hAnsiTheme="minorHAnsi" w:cstheme="minorHAnsi"/>
                <w:sz w:val="22"/>
                <w:szCs w:val="22"/>
              </w:rPr>
              <w:t xml:space="preserve">. </w:t>
            </w:r>
            <w:r w:rsidRPr="00436C65">
              <w:rPr>
                <w:rFonts w:asciiTheme="minorHAnsi" w:hAnsiTheme="minorHAnsi" w:cstheme="minorHAnsi"/>
                <w:i/>
                <w:iCs/>
                <w:sz w:val="22"/>
                <w:szCs w:val="22"/>
              </w:rPr>
              <w:t xml:space="preserve">The Mind of the Orthodox Church. </w:t>
            </w:r>
            <w:r w:rsidRPr="00436C65">
              <w:rPr>
                <w:rFonts w:asciiTheme="minorHAnsi" w:hAnsiTheme="minorHAnsi" w:cstheme="minorHAnsi"/>
                <w:sz w:val="22"/>
                <w:szCs w:val="22"/>
              </w:rPr>
              <w:t xml:space="preserve">Trans. E. Williams; </w:t>
            </w:r>
            <w:proofErr w:type="spellStart"/>
            <w:r w:rsidRPr="00436C65">
              <w:rPr>
                <w:rFonts w:asciiTheme="minorHAnsi" w:hAnsiTheme="minorHAnsi" w:cstheme="minorHAnsi"/>
                <w:sz w:val="22"/>
                <w:szCs w:val="22"/>
              </w:rPr>
              <w:t>Levadia</w:t>
            </w:r>
            <w:proofErr w:type="spellEnd"/>
            <w:r w:rsidRPr="00436C65">
              <w:rPr>
                <w:rFonts w:asciiTheme="minorHAnsi" w:hAnsiTheme="minorHAnsi" w:cstheme="minorHAnsi"/>
                <w:sz w:val="22"/>
                <w:szCs w:val="22"/>
              </w:rPr>
              <w:t xml:space="preserve">, </w:t>
            </w:r>
            <w:r>
              <w:rPr>
                <w:rFonts w:asciiTheme="minorHAnsi" w:hAnsiTheme="minorHAnsi" w:cstheme="minorHAnsi"/>
                <w:sz w:val="22"/>
                <w:szCs w:val="22"/>
              </w:rPr>
              <w:t>Greece</w:t>
            </w:r>
            <w:r w:rsidRPr="00436C65">
              <w:rPr>
                <w:rFonts w:asciiTheme="minorHAnsi" w:hAnsiTheme="minorHAnsi" w:cstheme="minorHAnsi"/>
                <w:sz w:val="22"/>
                <w:szCs w:val="22"/>
              </w:rPr>
              <w:t>: Birth of the Theotokos Monastery, 1998.</w:t>
            </w:r>
          </w:p>
          <w:p w14:paraId="3C97F5C6" w14:textId="77777777" w:rsidR="00E835E9" w:rsidRPr="00436C65" w:rsidRDefault="00E835E9" w:rsidP="00E835E9">
            <w:pPr>
              <w:pStyle w:val="NormalWeb"/>
              <w:numPr>
                <w:ilvl w:val="0"/>
                <w:numId w:val="2"/>
              </w:numPr>
              <w:shd w:val="clear" w:color="auto" w:fill="FFFFFF"/>
              <w:spacing w:before="0" w:beforeAutospacing="0" w:after="0" w:afterAutospacing="0"/>
              <w:ind w:left="714" w:hanging="357"/>
              <w:rPr>
                <w:rFonts w:asciiTheme="minorHAnsi" w:hAnsiTheme="minorHAnsi" w:cstheme="minorHAnsi"/>
                <w:sz w:val="22"/>
                <w:szCs w:val="22"/>
              </w:rPr>
            </w:pPr>
            <w:r w:rsidRPr="00436C65">
              <w:rPr>
                <w:rFonts w:asciiTheme="minorHAnsi" w:hAnsiTheme="minorHAnsi" w:cstheme="minorHAnsi"/>
                <w:sz w:val="22"/>
                <w:szCs w:val="22"/>
              </w:rPr>
              <w:t xml:space="preserve">Louth, A. </w:t>
            </w:r>
            <w:r w:rsidRPr="00436C65">
              <w:rPr>
                <w:rFonts w:asciiTheme="minorHAnsi" w:hAnsiTheme="minorHAnsi" w:cstheme="minorHAnsi"/>
                <w:i/>
                <w:iCs/>
                <w:sz w:val="22"/>
                <w:szCs w:val="22"/>
              </w:rPr>
              <w:t>Discerning the Mystery: An Essay on the Nature of Theology</w:t>
            </w:r>
            <w:r w:rsidRPr="00436C65">
              <w:rPr>
                <w:rFonts w:asciiTheme="minorHAnsi" w:hAnsiTheme="minorHAnsi" w:cstheme="minorHAnsi"/>
                <w:sz w:val="22"/>
                <w:szCs w:val="22"/>
              </w:rPr>
              <w:t xml:space="preserve"> Wichita, KS: Eighth Day Press, 2007.</w:t>
            </w:r>
          </w:p>
          <w:p w14:paraId="2CBC90D0" w14:textId="77777777" w:rsidR="00E835E9" w:rsidRPr="00436C65" w:rsidRDefault="00E835E9" w:rsidP="00E835E9">
            <w:pPr>
              <w:pStyle w:val="NormalWeb"/>
              <w:numPr>
                <w:ilvl w:val="0"/>
                <w:numId w:val="2"/>
              </w:numPr>
              <w:shd w:val="clear" w:color="auto" w:fill="FFFFFF"/>
              <w:spacing w:before="0" w:beforeAutospacing="0" w:after="0" w:afterAutospacing="0"/>
              <w:ind w:left="714" w:hanging="357"/>
              <w:rPr>
                <w:rFonts w:asciiTheme="minorHAnsi" w:hAnsiTheme="minorHAnsi" w:cstheme="minorHAnsi"/>
                <w:sz w:val="22"/>
                <w:szCs w:val="22"/>
              </w:rPr>
            </w:pPr>
            <w:proofErr w:type="spellStart"/>
            <w:r w:rsidRPr="00436C65">
              <w:rPr>
                <w:rFonts w:asciiTheme="minorHAnsi" w:hAnsiTheme="minorHAnsi" w:cstheme="minorHAnsi"/>
                <w:sz w:val="22"/>
                <w:szCs w:val="22"/>
              </w:rPr>
              <w:t>Shmemann</w:t>
            </w:r>
            <w:proofErr w:type="spellEnd"/>
            <w:r w:rsidRPr="00436C65">
              <w:rPr>
                <w:rFonts w:asciiTheme="minorHAnsi" w:hAnsiTheme="minorHAnsi" w:cstheme="minorHAnsi"/>
                <w:sz w:val="22"/>
                <w:szCs w:val="22"/>
              </w:rPr>
              <w:t>, A. </w:t>
            </w:r>
            <w:r w:rsidRPr="00436C65">
              <w:rPr>
                <w:rStyle w:val="Emphasis"/>
                <w:rFonts w:asciiTheme="minorHAnsi" w:hAnsiTheme="minorHAnsi" w:cstheme="minorHAnsi"/>
                <w:sz w:val="22"/>
                <w:szCs w:val="22"/>
              </w:rPr>
              <w:t>Church, World, Mission.</w:t>
            </w:r>
            <w:r w:rsidRPr="00436C65">
              <w:rPr>
                <w:rFonts w:asciiTheme="minorHAnsi" w:hAnsiTheme="minorHAnsi" w:cstheme="minorHAnsi"/>
                <w:sz w:val="22"/>
                <w:szCs w:val="22"/>
              </w:rPr>
              <w:t xml:space="preserve"> Crestwood, N.Y: St. Vladimir's Seminary Press, 1979.</w:t>
            </w:r>
          </w:p>
          <w:p w14:paraId="590C33E8" w14:textId="77777777" w:rsidR="00E835E9" w:rsidRDefault="00E835E9" w:rsidP="00E835E9">
            <w:pPr>
              <w:pStyle w:val="NormalWeb"/>
              <w:numPr>
                <w:ilvl w:val="0"/>
                <w:numId w:val="2"/>
              </w:numPr>
              <w:shd w:val="clear" w:color="auto" w:fill="FFFFFF"/>
              <w:spacing w:before="0" w:beforeAutospacing="0" w:after="0" w:afterAutospacing="0"/>
              <w:ind w:left="714" w:hanging="357"/>
              <w:rPr>
                <w:rFonts w:asciiTheme="minorHAnsi" w:hAnsiTheme="minorHAnsi" w:cstheme="minorHAnsi"/>
                <w:sz w:val="22"/>
                <w:szCs w:val="22"/>
              </w:rPr>
            </w:pPr>
            <w:r w:rsidRPr="00436C65">
              <w:rPr>
                <w:rFonts w:asciiTheme="minorHAnsi" w:hAnsiTheme="minorHAnsi" w:cstheme="minorHAnsi"/>
                <w:sz w:val="22"/>
                <w:szCs w:val="22"/>
              </w:rPr>
              <w:t>Stone, H. W., and J. O. Duke. </w:t>
            </w:r>
            <w:r w:rsidRPr="00436C65">
              <w:rPr>
                <w:rStyle w:val="Emphasis"/>
                <w:rFonts w:asciiTheme="minorHAnsi" w:hAnsiTheme="minorHAnsi" w:cstheme="minorHAnsi"/>
                <w:sz w:val="22"/>
                <w:szCs w:val="22"/>
              </w:rPr>
              <w:t>How to Think Theologically</w:t>
            </w:r>
            <w:r w:rsidRPr="00436C65">
              <w:rPr>
                <w:rFonts w:asciiTheme="minorHAnsi" w:hAnsiTheme="minorHAnsi" w:cstheme="minorHAnsi"/>
                <w:sz w:val="22"/>
                <w:szCs w:val="22"/>
              </w:rPr>
              <w:t>. 2nd ed</w:t>
            </w:r>
            <w:r>
              <w:rPr>
                <w:rFonts w:asciiTheme="minorHAnsi" w:hAnsiTheme="minorHAnsi" w:cstheme="minorHAnsi"/>
                <w:sz w:val="22"/>
                <w:szCs w:val="22"/>
              </w:rPr>
              <w:t>n;</w:t>
            </w:r>
            <w:r w:rsidRPr="00436C65">
              <w:rPr>
                <w:rFonts w:asciiTheme="minorHAnsi" w:hAnsiTheme="minorHAnsi" w:cstheme="minorHAnsi"/>
                <w:sz w:val="22"/>
                <w:szCs w:val="22"/>
              </w:rPr>
              <w:t xml:space="preserve"> Minneapolis: Fortress Press, 2006.</w:t>
            </w:r>
          </w:p>
          <w:p w14:paraId="44303BE6" w14:textId="77777777" w:rsidR="00E835E9" w:rsidRPr="00436C65" w:rsidRDefault="00E835E9" w:rsidP="00E835E9">
            <w:pPr>
              <w:pStyle w:val="NormalWeb"/>
              <w:numPr>
                <w:ilvl w:val="0"/>
                <w:numId w:val="2"/>
              </w:numPr>
              <w:shd w:val="clear" w:color="auto" w:fill="FFFFFF"/>
              <w:spacing w:before="0" w:beforeAutospacing="0" w:after="0" w:afterAutospacing="0"/>
              <w:ind w:left="714" w:hanging="357"/>
              <w:rPr>
                <w:rFonts w:asciiTheme="minorHAnsi" w:hAnsiTheme="minorHAnsi" w:cstheme="minorHAnsi"/>
                <w:sz w:val="22"/>
                <w:szCs w:val="22"/>
              </w:rPr>
            </w:pPr>
            <w:r>
              <w:rPr>
                <w:rFonts w:asciiTheme="minorHAnsi" w:hAnsiTheme="minorHAnsi" w:cstheme="minorHAnsi"/>
                <w:sz w:val="22"/>
                <w:szCs w:val="22"/>
              </w:rPr>
              <w:t xml:space="preserve">Swales, J. M., and C. B. Feak, </w:t>
            </w:r>
            <w:r w:rsidRPr="00436C65">
              <w:rPr>
                <w:rFonts w:asciiTheme="minorHAnsi" w:hAnsiTheme="minorHAnsi" w:cstheme="minorHAnsi"/>
                <w:i/>
                <w:iCs/>
                <w:sz w:val="22"/>
                <w:szCs w:val="22"/>
              </w:rPr>
              <w:t>Academic Writing for Graduate Students: Essential Tasks and Skills</w:t>
            </w:r>
            <w:r>
              <w:rPr>
                <w:rFonts w:asciiTheme="minorHAnsi" w:hAnsiTheme="minorHAnsi" w:cstheme="minorHAnsi"/>
                <w:sz w:val="22"/>
                <w:szCs w:val="22"/>
              </w:rPr>
              <w:t>. 2</w:t>
            </w:r>
            <w:r w:rsidRPr="00436C65">
              <w:rPr>
                <w:rFonts w:asciiTheme="minorHAnsi" w:hAnsiTheme="minorHAnsi" w:cstheme="minorHAnsi"/>
                <w:sz w:val="22"/>
                <w:szCs w:val="22"/>
                <w:vertAlign w:val="superscript"/>
              </w:rPr>
              <w:t>nd</w:t>
            </w:r>
            <w:r>
              <w:rPr>
                <w:rFonts w:asciiTheme="minorHAnsi" w:hAnsiTheme="minorHAnsi" w:cstheme="minorHAnsi"/>
                <w:sz w:val="22"/>
                <w:szCs w:val="22"/>
              </w:rPr>
              <w:t xml:space="preserve"> edn; Ann Arbor: University of Michigan, 2004.</w:t>
            </w:r>
          </w:p>
          <w:p w14:paraId="0976C09F" w14:textId="77777777" w:rsidR="00E835E9" w:rsidRPr="006168F0" w:rsidRDefault="00E835E9" w:rsidP="00702A1C"/>
        </w:tc>
      </w:tr>
      <w:tr w:rsidR="00E835E9" w14:paraId="2F82CA9A" w14:textId="77777777" w:rsidTr="00702A1C">
        <w:tc>
          <w:tcPr>
            <w:tcW w:w="1696" w:type="dxa"/>
          </w:tcPr>
          <w:p w14:paraId="3F4A6AD9" w14:textId="77777777" w:rsidR="00E835E9" w:rsidRDefault="00E835E9" w:rsidP="00702A1C">
            <w:r>
              <w:t>Assessments</w:t>
            </w:r>
          </w:p>
        </w:tc>
        <w:tc>
          <w:tcPr>
            <w:tcW w:w="7320" w:type="dxa"/>
          </w:tcPr>
          <w:p w14:paraId="24F1D62F" w14:textId="77777777" w:rsidR="00E835E9" w:rsidRPr="00644B41" w:rsidRDefault="00E835E9" w:rsidP="00702A1C">
            <w:pPr>
              <w:rPr>
                <w:b/>
              </w:rPr>
            </w:pPr>
            <w:r w:rsidRPr="00644B41">
              <w:rPr>
                <w:b/>
              </w:rPr>
              <w:t>Undergraduate</w:t>
            </w:r>
          </w:p>
          <w:tbl>
            <w:tblPr>
              <w:tblStyle w:val="TableGrid"/>
              <w:tblW w:w="0" w:type="auto"/>
              <w:tblLook w:val="04A0" w:firstRow="1" w:lastRow="0" w:firstColumn="1" w:lastColumn="0" w:noHBand="0" w:noVBand="1"/>
            </w:tblPr>
            <w:tblGrid>
              <w:gridCol w:w="308"/>
              <w:gridCol w:w="1718"/>
              <w:gridCol w:w="1013"/>
              <w:gridCol w:w="1013"/>
              <w:gridCol w:w="1014"/>
              <w:gridCol w:w="1014"/>
              <w:gridCol w:w="1014"/>
            </w:tblGrid>
            <w:tr w:rsidR="00E835E9" w14:paraId="251EC7CF" w14:textId="77777777" w:rsidTr="00702A1C">
              <w:tc>
                <w:tcPr>
                  <w:tcW w:w="307" w:type="dxa"/>
                </w:tcPr>
                <w:p w14:paraId="6CB28A42" w14:textId="77777777" w:rsidR="00E835E9" w:rsidRPr="00644B41" w:rsidRDefault="00E835E9" w:rsidP="00702A1C">
                  <w:pPr>
                    <w:rPr>
                      <w:sz w:val="18"/>
                      <w:szCs w:val="18"/>
                    </w:rPr>
                  </w:pPr>
                </w:p>
              </w:tc>
              <w:tc>
                <w:tcPr>
                  <w:tcW w:w="1719" w:type="dxa"/>
                </w:tcPr>
                <w:p w14:paraId="186F073B" w14:textId="77777777" w:rsidR="00E835E9" w:rsidRPr="00644B41" w:rsidRDefault="00E835E9" w:rsidP="00702A1C">
                  <w:pPr>
                    <w:rPr>
                      <w:sz w:val="18"/>
                      <w:szCs w:val="18"/>
                    </w:rPr>
                  </w:pPr>
                </w:p>
              </w:tc>
              <w:tc>
                <w:tcPr>
                  <w:tcW w:w="1013" w:type="dxa"/>
                </w:tcPr>
                <w:p w14:paraId="767522A5" w14:textId="77777777" w:rsidR="00E835E9" w:rsidRPr="00644B41" w:rsidRDefault="00E835E9" w:rsidP="00702A1C">
                  <w:pPr>
                    <w:rPr>
                      <w:sz w:val="18"/>
                      <w:szCs w:val="18"/>
                    </w:rPr>
                  </w:pPr>
                </w:p>
              </w:tc>
              <w:tc>
                <w:tcPr>
                  <w:tcW w:w="1013" w:type="dxa"/>
                </w:tcPr>
                <w:p w14:paraId="06BF0756" w14:textId="77777777" w:rsidR="00E835E9" w:rsidRPr="00644B41" w:rsidRDefault="00E835E9" w:rsidP="00702A1C">
                  <w:pPr>
                    <w:rPr>
                      <w:sz w:val="18"/>
                      <w:szCs w:val="18"/>
                    </w:rPr>
                  </w:pPr>
                  <w:r w:rsidRPr="00644B41">
                    <w:rPr>
                      <w:sz w:val="18"/>
                      <w:szCs w:val="18"/>
                    </w:rPr>
                    <w:t>words</w:t>
                  </w:r>
                </w:p>
              </w:tc>
              <w:tc>
                <w:tcPr>
                  <w:tcW w:w="1014" w:type="dxa"/>
                </w:tcPr>
                <w:p w14:paraId="6989173A" w14:textId="77777777" w:rsidR="00E835E9" w:rsidRPr="00644B41" w:rsidRDefault="00E835E9" w:rsidP="00702A1C">
                  <w:pPr>
                    <w:rPr>
                      <w:sz w:val="18"/>
                      <w:szCs w:val="18"/>
                    </w:rPr>
                  </w:pPr>
                  <w:r w:rsidRPr="00644B41">
                    <w:rPr>
                      <w:sz w:val="18"/>
                      <w:szCs w:val="18"/>
                    </w:rPr>
                    <w:t>weight</w:t>
                  </w:r>
                </w:p>
              </w:tc>
              <w:tc>
                <w:tcPr>
                  <w:tcW w:w="1014" w:type="dxa"/>
                </w:tcPr>
                <w:p w14:paraId="4B4CF39F" w14:textId="77777777" w:rsidR="00E835E9" w:rsidRPr="00644B41" w:rsidRDefault="00E835E9" w:rsidP="00702A1C">
                  <w:pPr>
                    <w:rPr>
                      <w:sz w:val="18"/>
                      <w:szCs w:val="18"/>
                    </w:rPr>
                  </w:pPr>
                  <w:r w:rsidRPr="00644B41">
                    <w:rPr>
                      <w:sz w:val="18"/>
                      <w:szCs w:val="18"/>
                    </w:rPr>
                    <w:t>Week due</w:t>
                  </w:r>
                </w:p>
              </w:tc>
              <w:tc>
                <w:tcPr>
                  <w:tcW w:w="1014" w:type="dxa"/>
                </w:tcPr>
                <w:p w14:paraId="622AF5A6" w14:textId="77777777" w:rsidR="00E835E9" w:rsidRPr="00644B41" w:rsidRDefault="00E835E9" w:rsidP="00702A1C">
                  <w:pPr>
                    <w:rPr>
                      <w:sz w:val="18"/>
                      <w:szCs w:val="18"/>
                    </w:rPr>
                  </w:pPr>
                  <w:r w:rsidRPr="00644B41">
                    <w:rPr>
                      <w:sz w:val="18"/>
                      <w:szCs w:val="18"/>
                    </w:rPr>
                    <w:t>outcomes</w:t>
                  </w:r>
                </w:p>
              </w:tc>
            </w:tr>
            <w:tr w:rsidR="00E835E9" w14:paraId="54766287" w14:textId="77777777" w:rsidTr="00702A1C">
              <w:tc>
                <w:tcPr>
                  <w:tcW w:w="307" w:type="dxa"/>
                </w:tcPr>
                <w:p w14:paraId="28E41642" w14:textId="77777777" w:rsidR="00E835E9" w:rsidRPr="00644B41" w:rsidRDefault="00E835E9" w:rsidP="00702A1C">
                  <w:pPr>
                    <w:rPr>
                      <w:sz w:val="18"/>
                      <w:szCs w:val="18"/>
                    </w:rPr>
                  </w:pPr>
                  <w:r w:rsidRPr="00644B41">
                    <w:rPr>
                      <w:sz w:val="18"/>
                      <w:szCs w:val="18"/>
                    </w:rPr>
                    <w:t>1</w:t>
                  </w:r>
                </w:p>
              </w:tc>
              <w:tc>
                <w:tcPr>
                  <w:tcW w:w="1719" w:type="dxa"/>
                </w:tcPr>
                <w:p w14:paraId="5136B572" w14:textId="77777777" w:rsidR="00E835E9" w:rsidRPr="00644B41" w:rsidRDefault="00E835E9" w:rsidP="00702A1C">
                  <w:pPr>
                    <w:rPr>
                      <w:sz w:val="18"/>
                      <w:szCs w:val="18"/>
                    </w:rPr>
                  </w:pPr>
                  <w:r w:rsidRPr="00644B41">
                    <w:rPr>
                      <w:sz w:val="18"/>
                      <w:szCs w:val="18"/>
                    </w:rPr>
                    <w:t>Oral presentation</w:t>
                  </w:r>
                </w:p>
              </w:tc>
              <w:tc>
                <w:tcPr>
                  <w:tcW w:w="1013" w:type="dxa"/>
                </w:tcPr>
                <w:p w14:paraId="3ADBBD97" w14:textId="77777777" w:rsidR="00E835E9" w:rsidRPr="00644B41" w:rsidRDefault="00E835E9" w:rsidP="00702A1C">
                  <w:pPr>
                    <w:rPr>
                      <w:sz w:val="18"/>
                      <w:szCs w:val="18"/>
                    </w:rPr>
                  </w:pPr>
                </w:p>
              </w:tc>
              <w:tc>
                <w:tcPr>
                  <w:tcW w:w="1013" w:type="dxa"/>
                </w:tcPr>
                <w:p w14:paraId="1B052845" w14:textId="77777777" w:rsidR="00E835E9" w:rsidRPr="00644B41" w:rsidRDefault="00E835E9" w:rsidP="00702A1C">
                  <w:pPr>
                    <w:rPr>
                      <w:sz w:val="18"/>
                      <w:szCs w:val="18"/>
                    </w:rPr>
                  </w:pPr>
                  <w:r>
                    <w:rPr>
                      <w:sz w:val="18"/>
                      <w:szCs w:val="18"/>
                    </w:rPr>
                    <w:t>1000</w:t>
                  </w:r>
                </w:p>
              </w:tc>
              <w:tc>
                <w:tcPr>
                  <w:tcW w:w="1014" w:type="dxa"/>
                </w:tcPr>
                <w:p w14:paraId="2FE68D73" w14:textId="77777777" w:rsidR="00E835E9" w:rsidRPr="00644B41" w:rsidRDefault="00E835E9" w:rsidP="00702A1C">
                  <w:pPr>
                    <w:rPr>
                      <w:sz w:val="18"/>
                      <w:szCs w:val="18"/>
                    </w:rPr>
                  </w:pPr>
                  <w:r>
                    <w:rPr>
                      <w:sz w:val="18"/>
                      <w:szCs w:val="18"/>
                    </w:rPr>
                    <w:t>10</w:t>
                  </w:r>
                </w:p>
              </w:tc>
              <w:tc>
                <w:tcPr>
                  <w:tcW w:w="1014" w:type="dxa"/>
                </w:tcPr>
                <w:p w14:paraId="3ACD38F6" w14:textId="77777777" w:rsidR="00E835E9" w:rsidRPr="00644B41" w:rsidRDefault="00E835E9" w:rsidP="00702A1C">
                  <w:pPr>
                    <w:rPr>
                      <w:sz w:val="18"/>
                      <w:szCs w:val="18"/>
                    </w:rPr>
                  </w:pPr>
                  <w:r>
                    <w:rPr>
                      <w:sz w:val="18"/>
                      <w:szCs w:val="18"/>
                    </w:rPr>
                    <w:t>11</w:t>
                  </w:r>
                </w:p>
              </w:tc>
              <w:tc>
                <w:tcPr>
                  <w:tcW w:w="1014" w:type="dxa"/>
                </w:tcPr>
                <w:p w14:paraId="6E0F1A71" w14:textId="77777777" w:rsidR="00E835E9" w:rsidRPr="00644B41" w:rsidRDefault="00E835E9" w:rsidP="00702A1C">
                  <w:pPr>
                    <w:rPr>
                      <w:sz w:val="18"/>
                      <w:szCs w:val="18"/>
                    </w:rPr>
                  </w:pPr>
                  <w:r>
                    <w:rPr>
                      <w:sz w:val="18"/>
                      <w:szCs w:val="18"/>
                    </w:rPr>
                    <w:t>1234</w:t>
                  </w:r>
                </w:p>
              </w:tc>
            </w:tr>
            <w:tr w:rsidR="00E835E9" w14:paraId="3B5108DE" w14:textId="77777777" w:rsidTr="00702A1C">
              <w:tc>
                <w:tcPr>
                  <w:tcW w:w="307" w:type="dxa"/>
                </w:tcPr>
                <w:p w14:paraId="5CAEAA16" w14:textId="77777777" w:rsidR="00E835E9" w:rsidRPr="00644B41" w:rsidRDefault="00E835E9" w:rsidP="00702A1C">
                  <w:pPr>
                    <w:rPr>
                      <w:sz w:val="18"/>
                      <w:szCs w:val="18"/>
                    </w:rPr>
                  </w:pPr>
                  <w:r w:rsidRPr="00644B41">
                    <w:rPr>
                      <w:sz w:val="18"/>
                      <w:szCs w:val="18"/>
                    </w:rPr>
                    <w:t>2</w:t>
                  </w:r>
                </w:p>
              </w:tc>
              <w:tc>
                <w:tcPr>
                  <w:tcW w:w="1719" w:type="dxa"/>
                </w:tcPr>
                <w:p w14:paraId="33BFEE0D" w14:textId="77777777" w:rsidR="00E835E9" w:rsidRPr="00644B41" w:rsidRDefault="00E835E9" w:rsidP="00702A1C">
                  <w:pPr>
                    <w:rPr>
                      <w:sz w:val="18"/>
                      <w:szCs w:val="18"/>
                    </w:rPr>
                  </w:pPr>
                  <w:r w:rsidRPr="00644B41">
                    <w:rPr>
                      <w:sz w:val="18"/>
                      <w:szCs w:val="18"/>
                    </w:rPr>
                    <w:t>essay</w:t>
                  </w:r>
                </w:p>
              </w:tc>
              <w:tc>
                <w:tcPr>
                  <w:tcW w:w="1013" w:type="dxa"/>
                </w:tcPr>
                <w:p w14:paraId="651C3D51" w14:textId="77777777" w:rsidR="00E835E9" w:rsidRPr="00644B41" w:rsidRDefault="00E835E9" w:rsidP="00702A1C">
                  <w:pPr>
                    <w:rPr>
                      <w:sz w:val="18"/>
                      <w:szCs w:val="18"/>
                    </w:rPr>
                  </w:pPr>
                </w:p>
              </w:tc>
              <w:tc>
                <w:tcPr>
                  <w:tcW w:w="1013" w:type="dxa"/>
                </w:tcPr>
                <w:p w14:paraId="0769290A" w14:textId="77777777" w:rsidR="00E835E9" w:rsidRPr="00644B41" w:rsidRDefault="00E835E9" w:rsidP="00702A1C">
                  <w:pPr>
                    <w:rPr>
                      <w:sz w:val="18"/>
                      <w:szCs w:val="18"/>
                    </w:rPr>
                  </w:pPr>
                  <w:r>
                    <w:rPr>
                      <w:sz w:val="18"/>
                      <w:szCs w:val="18"/>
                    </w:rPr>
                    <w:t>4000</w:t>
                  </w:r>
                </w:p>
              </w:tc>
              <w:tc>
                <w:tcPr>
                  <w:tcW w:w="1014" w:type="dxa"/>
                </w:tcPr>
                <w:p w14:paraId="68582B96" w14:textId="77777777" w:rsidR="00E835E9" w:rsidRPr="00644B41" w:rsidRDefault="00E835E9" w:rsidP="00702A1C">
                  <w:pPr>
                    <w:rPr>
                      <w:sz w:val="18"/>
                      <w:szCs w:val="18"/>
                    </w:rPr>
                  </w:pPr>
                  <w:r>
                    <w:rPr>
                      <w:sz w:val="18"/>
                      <w:szCs w:val="18"/>
                    </w:rPr>
                    <w:t>90</w:t>
                  </w:r>
                </w:p>
              </w:tc>
              <w:tc>
                <w:tcPr>
                  <w:tcW w:w="1014" w:type="dxa"/>
                </w:tcPr>
                <w:p w14:paraId="198D1A39" w14:textId="77777777" w:rsidR="00E835E9" w:rsidRPr="00644B41" w:rsidRDefault="00E835E9" w:rsidP="00702A1C">
                  <w:pPr>
                    <w:rPr>
                      <w:sz w:val="18"/>
                      <w:szCs w:val="18"/>
                    </w:rPr>
                  </w:pPr>
                  <w:r>
                    <w:rPr>
                      <w:sz w:val="18"/>
                      <w:szCs w:val="18"/>
                    </w:rPr>
                    <w:t>12</w:t>
                  </w:r>
                </w:p>
              </w:tc>
              <w:tc>
                <w:tcPr>
                  <w:tcW w:w="1014" w:type="dxa"/>
                </w:tcPr>
                <w:p w14:paraId="5533B26E" w14:textId="77777777" w:rsidR="00E835E9" w:rsidRPr="00644B41" w:rsidRDefault="00E835E9" w:rsidP="00702A1C">
                  <w:pPr>
                    <w:rPr>
                      <w:sz w:val="18"/>
                      <w:szCs w:val="18"/>
                    </w:rPr>
                  </w:pPr>
                  <w:r>
                    <w:rPr>
                      <w:sz w:val="18"/>
                      <w:szCs w:val="18"/>
                    </w:rPr>
                    <w:t>1234</w:t>
                  </w:r>
                </w:p>
              </w:tc>
            </w:tr>
          </w:tbl>
          <w:p w14:paraId="2ECDFD7F" w14:textId="77777777" w:rsidR="00E835E9" w:rsidRDefault="00E835E9" w:rsidP="00702A1C"/>
        </w:tc>
      </w:tr>
    </w:tbl>
    <w:p w14:paraId="47A34B23" w14:textId="77777777" w:rsidR="00E835E9" w:rsidRDefault="00E835E9" w:rsidP="00E835E9"/>
    <w:p w14:paraId="65AC1D23" w14:textId="77777777" w:rsidR="00B03396" w:rsidRDefault="00B03396"/>
    <w:sectPr w:rsidR="00B033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4F3F"/>
    <w:multiLevelType w:val="hybridMultilevel"/>
    <w:tmpl w:val="F43AD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254717D"/>
    <w:multiLevelType w:val="hybridMultilevel"/>
    <w:tmpl w:val="FF5C27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5800670">
    <w:abstractNumId w:val="1"/>
  </w:num>
  <w:num w:numId="2" w16cid:durableId="88718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E9"/>
    <w:rsid w:val="00B03396"/>
    <w:rsid w:val="00CE0DE7"/>
    <w:rsid w:val="00E835E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C605"/>
  <w15:chartTrackingRefBased/>
  <w15:docId w15:val="{A509ED79-E68F-41D2-8EFF-D0CB1A23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3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5E9"/>
    <w:pPr>
      <w:ind w:left="720"/>
      <w:contextualSpacing/>
    </w:pPr>
  </w:style>
  <w:style w:type="character" w:styleId="Emphasis">
    <w:name w:val="Emphasis"/>
    <w:basedOn w:val="DefaultParagraphFont"/>
    <w:uiPriority w:val="20"/>
    <w:qFormat/>
    <w:rsid w:val="00E835E9"/>
    <w:rPr>
      <w:i/>
      <w:iCs/>
    </w:rPr>
  </w:style>
  <w:style w:type="paragraph" w:styleId="NormalWeb">
    <w:name w:val="Normal (Web)"/>
    <w:basedOn w:val="Normal"/>
    <w:uiPriority w:val="99"/>
    <w:semiHidden/>
    <w:unhideWhenUsed/>
    <w:rsid w:val="00E835E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Peter Hill</dc:creator>
  <cp:keywords/>
  <dc:description/>
  <cp:lastModifiedBy>Fr Peter Hill</cp:lastModifiedBy>
  <cp:revision>1</cp:revision>
  <dcterms:created xsi:type="dcterms:W3CDTF">2022-11-12T04:32:00Z</dcterms:created>
  <dcterms:modified xsi:type="dcterms:W3CDTF">2022-11-12T04:33:00Z</dcterms:modified>
</cp:coreProperties>
</file>